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9B5AADE" w14:textId="66856DB8" w:rsidR="00E67E20" w:rsidRDefault="00796099">
      <w:pPr>
        <w:spacing w:before="240" w:after="240" w:line="25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Skjern Bank</w:t>
      </w:r>
      <w:r w:rsidR="000452F7">
        <w:rPr>
          <w:b/>
          <w:sz w:val="36"/>
          <w:szCs w:val="36"/>
        </w:rPr>
        <w:t xml:space="preserve"> A/S</w:t>
      </w:r>
    </w:p>
    <w:p w14:paraId="1968CBE3" w14:textId="0E7ED9F8" w:rsidR="00E67E20" w:rsidRDefault="000452F7">
      <w:pPr>
        <w:spacing w:before="240" w:after="240" w:line="25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Generalforsamling </w:t>
      </w:r>
      <w:r w:rsidR="00E00DD1">
        <w:rPr>
          <w:b/>
          <w:sz w:val="28"/>
          <w:szCs w:val="28"/>
        </w:rPr>
        <w:t>0</w:t>
      </w:r>
      <w:r w:rsidR="00B479F9">
        <w:rPr>
          <w:b/>
          <w:sz w:val="28"/>
          <w:szCs w:val="28"/>
        </w:rPr>
        <w:t>3</w:t>
      </w:r>
      <w:r w:rsidR="00E00DD1">
        <w:rPr>
          <w:b/>
          <w:sz w:val="28"/>
          <w:szCs w:val="28"/>
        </w:rPr>
        <w:t>.03.202</w:t>
      </w:r>
      <w:r w:rsidR="00B479F9">
        <w:rPr>
          <w:b/>
          <w:sz w:val="28"/>
          <w:szCs w:val="28"/>
        </w:rPr>
        <w:t>5</w:t>
      </w:r>
    </w:p>
    <w:p w14:paraId="646270A5" w14:textId="38E5205F" w:rsidR="00E67E20" w:rsidRPr="00B978A4" w:rsidRDefault="000452F7">
      <w:pPr>
        <w:spacing w:before="240" w:after="240"/>
        <w:rPr>
          <w:b/>
          <w:sz w:val="24"/>
          <w:szCs w:val="24"/>
        </w:rPr>
      </w:pPr>
      <w:r w:rsidRPr="00B978A4">
        <w:rPr>
          <w:b/>
          <w:sz w:val="24"/>
          <w:szCs w:val="24"/>
        </w:rPr>
        <w:t xml:space="preserve">Talepapir </w:t>
      </w:r>
      <w:r w:rsidR="00E00DD1">
        <w:rPr>
          <w:b/>
          <w:sz w:val="24"/>
          <w:szCs w:val="24"/>
        </w:rPr>
        <w:t xml:space="preserve">Skjern Bank </w:t>
      </w:r>
      <w:r w:rsidR="00147403" w:rsidRPr="00B978A4">
        <w:rPr>
          <w:b/>
          <w:sz w:val="24"/>
          <w:szCs w:val="24"/>
        </w:rPr>
        <w:t>A</w:t>
      </w:r>
      <w:r w:rsidRPr="00B978A4">
        <w:rPr>
          <w:b/>
          <w:sz w:val="24"/>
          <w:szCs w:val="24"/>
        </w:rPr>
        <w:t>/S generalforsamling</w:t>
      </w:r>
      <w:r w:rsidR="00147403" w:rsidRPr="00B978A4">
        <w:rPr>
          <w:b/>
          <w:sz w:val="24"/>
          <w:szCs w:val="24"/>
        </w:rPr>
        <w:t xml:space="preserve"> </w:t>
      </w:r>
      <w:r w:rsidR="00E00DD1">
        <w:rPr>
          <w:b/>
          <w:sz w:val="24"/>
          <w:szCs w:val="24"/>
        </w:rPr>
        <w:t>i Ringkøbing-Skjern Kulturcenter i Skjern</w:t>
      </w:r>
    </w:p>
    <w:p w14:paraId="2F885816" w14:textId="3D626547" w:rsidR="00E67E20" w:rsidRPr="00943BAE" w:rsidRDefault="000452F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Mit navn er Anders Nørskov. Jeg fremsender dette indlæg som repræsentant for Dansk Aktionærforening, der varetager private </w:t>
      </w:r>
      <w:r w:rsidR="007E7C65">
        <w:rPr>
          <w:sz w:val="24"/>
          <w:szCs w:val="24"/>
        </w:rPr>
        <w:t>investorers</w:t>
      </w:r>
      <w:r>
        <w:rPr>
          <w:sz w:val="24"/>
          <w:szCs w:val="24"/>
        </w:rPr>
        <w:t xml:space="preserve"> interesser i Danmark.</w:t>
      </w:r>
      <w:r w:rsidR="009A5800">
        <w:rPr>
          <w:sz w:val="24"/>
          <w:szCs w:val="24"/>
        </w:rPr>
        <w:t xml:space="preserve"> </w:t>
      </w:r>
      <w:r w:rsidR="009A5800" w:rsidRPr="00943BAE">
        <w:rPr>
          <w:sz w:val="24"/>
          <w:szCs w:val="24"/>
        </w:rPr>
        <w:t xml:space="preserve">Jeg </w:t>
      </w:r>
      <w:r w:rsidR="00E00DD1">
        <w:rPr>
          <w:sz w:val="24"/>
          <w:szCs w:val="24"/>
        </w:rPr>
        <w:t xml:space="preserve">er selv aktionær i banken. I </w:t>
      </w:r>
      <w:r w:rsidR="009A5800" w:rsidRPr="00943BAE">
        <w:rPr>
          <w:sz w:val="24"/>
          <w:szCs w:val="24"/>
        </w:rPr>
        <w:t xml:space="preserve">dag </w:t>
      </w:r>
      <w:r w:rsidR="00E00DD1">
        <w:rPr>
          <w:sz w:val="24"/>
          <w:szCs w:val="24"/>
        </w:rPr>
        <w:t xml:space="preserve">har jeg </w:t>
      </w:r>
      <w:r w:rsidR="00CF3BE8">
        <w:rPr>
          <w:sz w:val="24"/>
          <w:szCs w:val="24"/>
        </w:rPr>
        <w:t>to</w:t>
      </w:r>
      <w:r w:rsidR="00E00DD1">
        <w:rPr>
          <w:sz w:val="24"/>
          <w:szCs w:val="24"/>
        </w:rPr>
        <w:t xml:space="preserve"> </w:t>
      </w:r>
      <w:r w:rsidR="009A5800" w:rsidRPr="00943BAE">
        <w:rPr>
          <w:sz w:val="24"/>
          <w:szCs w:val="24"/>
        </w:rPr>
        <w:t>spørgsmål med til ledelsen.</w:t>
      </w:r>
    </w:p>
    <w:p w14:paraId="2E8F4F8B" w14:textId="1E749345" w:rsidR="00B479F9" w:rsidRDefault="00B479F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Allerførst et stort tillykke til alle i Skjern Bank med det super flotte regnskab for 2024</w:t>
      </w:r>
      <w:r w:rsidR="000E7924">
        <w:rPr>
          <w:sz w:val="24"/>
          <w:szCs w:val="24"/>
        </w:rPr>
        <w:t>, som er bankens suverænt bedste resultat</w:t>
      </w:r>
      <w:r>
        <w:rPr>
          <w:sz w:val="24"/>
          <w:szCs w:val="24"/>
        </w:rPr>
        <w:t xml:space="preserve">. Også en tak til bestyrelsen, som indstiller, at der både betales udbytte og startes aktietilbagekøb. Det var en glædelig overraskelse efter udtalelserne på sidste års generalforsamling, at vi nu </w:t>
      </w:r>
      <w:r w:rsidR="00250577">
        <w:rPr>
          <w:sz w:val="24"/>
          <w:szCs w:val="24"/>
        </w:rPr>
        <w:t xml:space="preserve">kan forvente </w:t>
      </w:r>
      <w:r>
        <w:rPr>
          <w:sz w:val="24"/>
          <w:szCs w:val="24"/>
        </w:rPr>
        <w:t>mere omsætning i bankens aktie på Fondsbørsen.</w:t>
      </w:r>
    </w:p>
    <w:p w14:paraId="479C0042" w14:textId="34DA6D42" w:rsidR="00434824" w:rsidRDefault="002C5935" w:rsidP="007B0B6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Af årets højdepunkter </w:t>
      </w:r>
      <w:r w:rsidR="00434824">
        <w:rPr>
          <w:sz w:val="24"/>
          <w:szCs w:val="24"/>
        </w:rPr>
        <w:t xml:space="preserve">i og </w:t>
      </w:r>
      <w:r w:rsidR="00384498">
        <w:rPr>
          <w:sz w:val="24"/>
          <w:szCs w:val="24"/>
        </w:rPr>
        <w:t xml:space="preserve">omkring </w:t>
      </w:r>
      <w:r w:rsidR="00434824">
        <w:rPr>
          <w:sz w:val="24"/>
          <w:szCs w:val="24"/>
        </w:rPr>
        <w:t xml:space="preserve">banken </w:t>
      </w:r>
      <w:r w:rsidR="000E7924">
        <w:rPr>
          <w:sz w:val="24"/>
          <w:szCs w:val="24"/>
        </w:rPr>
        <w:t xml:space="preserve">hæfter </w:t>
      </w:r>
      <w:r w:rsidR="00434824">
        <w:rPr>
          <w:sz w:val="24"/>
          <w:szCs w:val="24"/>
        </w:rPr>
        <w:t xml:space="preserve">jeg </w:t>
      </w:r>
      <w:r w:rsidR="000E7924">
        <w:rPr>
          <w:sz w:val="24"/>
          <w:szCs w:val="24"/>
        </w:rPr>
        <w:t>mig</w:t>
      </w:r>
      <w:r w:rsidR="00225B33">
        <w:rPr>
          <w:sz w:val="24"/>
          <w:szCs w:val="24"/>
        </w:rPr>
        <w:t xml:space="preserve"> </w:t>
      </w:r>
      <w:r w:rsidR="000E7924">
        <w:rPr>
          <w:sz w:val="24"/>
          <w:szCs w:val="24"/>
        </w:rPr>
        <w:t>især ved</w:t>
      </w:r>
      <w:r w:rsidR="007B0B67">
        <w:rPr>
          <w:sz w:val="24"/>
          <w:szCs w:val="24"/>
        </w:rPr>
        <w:t xml:space="preserve">, at </w:t>
      </w:r>
      <w:r>
        <w:rPr>
          <w:sz w:val="24"/>
          <w:szCs w:val="24"/>
        </w:rPr>
        <w:t>u</w:t>
      </w:r>
      <w:r w:rsidR="000E7924" w:rsidRPr="002C5935">
        <w:rPr>
          <w:sz w:val="24"/>
          <w:szCs w:val="24"/>
        </w:rPr>
        <w:t>dlånene</w:t>
      </w:r>
      <w:r>
        <w:rPr>
          <w:sz w:val="24"/>
          <w:szCs w:val="24"/>
        </w:rPr>
        <w:t xml:space="preserve"> </w:t>
      </w:r>
      <w:r w:rsidR="00434824">
        <w:rPr>
          <w:sz w:val="24"/>
          <w:szCs w:val="24"/>
        </w:rPr>
        <w:t xml:space="preserve">i banken </w:t>
      </w:r>
      <w:r>
        <w:rPr>
          <w:sz w:val="24"/>
          <w:szCs w:val="24"/>
        </w:rPr>
        <w:t>steg</w:t>
      </w:r>
      <w:r w:rsidR="00704530">
        <w:rPr>
          <w:sz w:val="24"/>
          <w:szCs w:val="24"/>
        </w:rPr>
        <w:t>, men</w:t>
      </w:r>
      <w:r>
        <w:rPr>
          <w:sz w:val="24"/>
          <w:szCs w:val="24"/>
        </w:rPr>
        <w:t xml:space="preserve"> heldigvis med normale </w:t>
      </w:r>
      <w:r w:rsidR="000E7924" w:rsidRPr="002C5935">
        <w:rPr>
          <w:sz w:val="24"/>
          <w:szCs w:val="24"/>
        </w:rPr>
        <w:t xml:space="preserve">3,5% </w:t>
      </w:r>
      <w:r>
        <w:rPr>
          <w:sz w:val="24"/>
          <w:szCs w:val="24"/>
        </w:rPr>
        <w:t>mod sidste års 23%</w:t>
      </w:r>
      <w:r w:rsidR="007B0B67">
        <w:rPr>
          <w:sz w:val="24"/>
          <w:szCs w:val="24"/>
        </w:rPr>
        <w:t xml:space="preserve">, </w:t>
      </w:r>
      <w:r w:rsidR="00434824">
        <w:rPr>
          <w:sz w:val="24"/>
          <w:szCs w:val="24"/>
        </w:rPr>
        <w:t xml:space="preserve">Nykredit ønsker </w:t>
      </w:r>
      <w:r w:rsidR="00704530">
        <w:rPr>
          <w:sz w:val="24"/>
          <w:szCs w:val="24"/>
        </w:rPr>
        <w:t xml:space="preserve">med tilbud om køb af SparNord Bank </w:t>
      </w:r>
      <w:r w:rsidR="00434824">
        <w:rPr>
          <w:sz w:val="24"/>
          <w:szCs w:val="24"/>
        </w:rPr>
        <w:t>en større andel af bankmarkedet</w:t>
      </w:r>
      <w:r w:rsidR="00250577">
        <w:rPr>
          <w:sz w:val="24"/>
          <w:szCs w:val="24"/>
        </w:rPr>
        <w:t>, samt</w:t>
      </w:r>
      <w:r w:rsidR="007B0B67">
        <w:rPr>
          <w:sz w:val="24"/>
          <w:szCs w:val="24"/>
        </w:rPr>
        <w:t xml:space="preserve"> </w:t>
      </w:r>
      <w:r w:rsidR="00250577">
        <w:rPr>
          <w:sz w:val="24"/>
          <w:szCs w:val="24"/>
        </w:rPr>
        <w:t xml:space="preserve">at </w:t>
      </w:r>
      <w:r w:rsidR="007B0B67">
        <w:rPr>
          <w:sz w:val="24"/>
          <w:szCs w:val="24"/>
        </w:rPr>
        <w:t xml:space="preserve">Netcompany </w:t>
      </w:r>
      <w:r w:rsidR="00250577">
        <w:rPr>
          <w:sz w:val="24"/>
          <w:szCs w:val="24"/>
        </w:rPr>
        <w:t xml:space="preserve">har købt </w:t>
      </w:r>
      <w:r w:rsidR="007B0B67">
        <w:rPr>
          <w:sz w:val="24"/>
          <w:szCs w:val="24"/>
        </w:rPr>
        <w:t>SDC og ønsker vækst på datacenter området for finans</w:t>
      </w:r>
      <w:r w:rsidR="00250577">
        <w:rPr>
          <w:sz w:val="24"/>
          <w:szCs w:val="24"/>
        </w:rPr>
        <w:t>. Men også at</w:t>
      </w:r>
      <w:r w:rsidR="007B0B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den nye EU kommission vil reducere </w:t>
      </w:r>
      <w:r w:rsidR="00E1590D">
        <w:rPr>
          <w:sz w:val="24"/>
          <w:szCs w:val="24"/>
        </w:rPr>
        <w:t>EU-</w:t>
      </w:r>
      <w:r>
        <w:rPr>
          <w:sz w:val="24"/>
          <w:szCs w:val="24"/>
        </w:rPr>
        <w:t>bureaukrati</w:t>
      </w:r>
      <w:r w:rsidR="00E1590D">
        <w:rPr>
          <w:sz w:val="24"/>
          <w:szCs w:val="24"/>
        </w:rPr>
        <w:t xml:space="preserve">et. </w:t>
      </w:r>
      <w:r>
        <w:rPr>
          <w:sz w:val="24"/>
          <w:szCs w:val="24"/>
        </w:rPr>
        <w:br/>
      </w:r>
      <w:r w:rsidRPr="00434824">
        <w:rPr>
          <w:sz w:val="24"/>
          <w:szCs w:val="24"/>
        </w:rPr>
        <w:t>(</w:t>
      </w:r>
      <w:r w:rsidR="00E1590D">
        <w:rPr>
          <w:sz w:val="24"/>
          <w:szCs w:val="24"/>
        </w:rPr>
        <w:t>T</w:t>
      </w:r>
      <w:r w:rsidRPr="00434824">
        <w:rPr>
          <w:sz w:val="24"/>
          <w:szCs w:val="24"/>
        </w:rPr>
        <w:t>idligere ECB chef Mario Draghi vurdere</w:t>
      </w:r>
      <w:r w:rsidR="00434824" w:rsidRPr="00434824">
        <w:rPr>
          <w:sz w:val="24"/>
          <w:szCs w:val="24"/>
        </w:rPr>
        <w:t xml:space="preserve">r EU's rapporteringskrav </w:t>
      </w:r>
      <w:r w:rsidRPr="00434824">
        <w:rPr>
          <w:sz w:val="24"/>
          <w:szCs w:val="24"/>
        </w:rPr>
        <w:t xml:space="preserve">svarer til </w:t>
      </w:r>
      <w:r w:rsidR="00434824" w:rsidRPr="00434824">
        <w:rPr>
          <w:sz w:val="24"/>
          <w:szCs w:val="24"/>
        </w:rPr>
        <w:t>45% told på varer og 110% på tjenesteydelser</w:t>
      </w:r>
      <w:r w:rsidR="00250577">
        <w:rPr>
          <w:sz w:val="24"/>
          <w:szCs w:val="24"/>
        </w:rPr>
        <w:t xml:space="preserve"> – altså væsentligt mere end USA</w:t>
      </w:r>
      <w:r w:rsidR="009878D0">
        <w:rPr>
          <w:sz w:val="24"/>
          <w:szCs w:val="24"/>
        </w:rPr>
        <w:t>’s</w:t>
      </w:r>
      <w:r w:rsidR="00250577">
        <w:rPr>
          <w:sz w:val="24"/>
          <w:szCs w:val="24"/>
        </w:rPr>
        <w:t xml:space="preserve"> niveau for </w:t>
      </w:r>
      <w:r w:rsidR="009878D0">
        <w:rPr>
          <w:sz w:val="24"/>
          <w:szCs w:val="24"/>
        </w:rPr>
        <w:t>trusler om told</w:t>
      </w:r>
      <w:r w:rsidR="005B682A">
        <w:rPr>
          <w:sz w:val="24"/>
          <w:szCs w:val="24"/>
        </w:rPr>
        <w:t xml:space="preserve">. Draghi udtaler sig </w:t>
      </w:r>
      <w:r w:rsidR="00384498">
        <w:rPr>
          <w:sz w:val="24"/>
          <w:szCs w:val="24"/>
        </w:rPr>
        <w:t xml:space="preserve">måske </w:t>
      </w:r>
      <w:r w:rsidR="005B682A">
        <w:rPr>
          <w:sz w:val="24"/>
          <w:szCs w:val="24"/>
        </w:rPr>
        <w:t>som økonom med konkrete beregninger eller som politiker, hvor overdrivelse fremmer forståelsen for graden af EU</w:t>
      </w:r>
      <w:r w:rsidR="0051526D">
        <w:rPr>
          <w:sz w:val="24"/>
          <w:szCs w:val="24"/>
        </w:rPr>
        <w:t xml:space="preserve">’s </w:t>
      </w:r>
      <w:r w:rsidR="005B682A">
        <w:rPr>
          <w:sz w:val="24"/>
          <w:szCs w:val="24"/>
        </w:rPr>
        <w:t>benspænd for erhvervsliv</w:t>
      </w:r>
      <w:r w:rsidR="0051526D">
        <w:rPr>
          <w:sz w:val="24"/>
          <w:szCs w:val="24"/>
        </w:rPr>
        <w:t>et</w:t>
      </w:r>
      <w:r w:rsidR="00434824" w:rsidRPr="00434824">
        <w:rPr>
          <w:sz w:val="24"/>
          <w:szCs w:val="24"/>
        </w:rPr>
        <w:t>)</w:t>
      </w:r>
      <w:r w:rsidR="007B0B67">
        <w:rPr>
          <w:sz w:val="24"/>
          <w:szCs w:val="24"/>
        </w:rPr>
        <w:t>.</w:t>
      </w:r>
    </w:p>
    <w:p w14:paraId="18B750E3" w14:textId="1778D3EF" w:rsidR="007B0B67" w:rsidRDefault="009878D0" w:rsidP="007B0B6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J</w:t>
      </w:r>
      <w:r w:rsidR="007B0B67">
        <w:rPr>
          <w:sz w:val="24"/>
          <w:szCs w:val="24"/>
        </w:rPr>
        <w:t xml:space="preserve">eg noterer også, at de væsentligste faktorer i bankens strategi: uændret fastholdelse </w:t>
      </w:r>
      <w:r w:rsidR="00384498">
        <w:rPr>
          <w:sz w:val="24"/>
          <w:szCs w:val="24"/>
        </w:rPr>
        <w:t xml:space="preserve">Skjern Bank som selvstændig bank med </w:t>
      </w:r>
      <w:r w:rsidR="007B0B67">
        <w:rPr>
          <w:sz w:val="24"/>
          <w:szCs w:val="24"/>
        </w:rPr>
        <w:t xml:space="preserve">høj medarbejdertilfredshed, kundetilfredshed og indtjening i toppen af sektoren </w:t>
      </w:r>
      <w:r>
        <w:rPr>
          <w:sz w:val="24"/>
          <w:szCs w:val="24"/>
        </w:rPr>
        <w:t xml:space="preserve">alle </w:t>
      </w:r>
      <w:r w:rsidR="007B0B67">
        <w:rPr>
          <w:sz w:val="24"/>
          <w:szCs w:val="24"/>
        </w:rPr>
        <w:t xml:space="preserve">er </w:t>
      </w:r>
      <w:r>
        <w:rPr>
          <w:sz w:val="24"/>
          <w:szCs w:val="24"/>
        </w:rPr>
        <w:t>opfyldt</w:t>
      </w:r>
      <w:r w:rsidR="00384498">
        <w:rPr>
          <w:sz w:val="24"/>
          <w:szCs w:val="24"/>
        </w:rPr>
        <w:t xml:space="preserve">. </w:t>
      </w:r>
      <w:r w:rsidR="00270F53">
        <w:rPr>
          <w:sz w:val="24"/>
          <w:szCs w:val="24"/>
        </w:rPr>
        <w:t>Forrentningen af egenkapitalen er ned fra ekstreme 24% sidste år til nu 22%. Det er stadig meget højt, og stadig ikke noget der får nævneværdig omtale i erhvervspressen, som uændret fokuserer på hovedbankerne og deres 10-12-14% forrentning af egenkapitalen.</w:t>
      </w:r>
      <w:r w:rsidR="005013E9">
        <w:rPr>
          <w:sz w:val="24"/>
          <w:szCs w:val="24"/>
        </w:rPr>
        <w:t xml:space="preserve"> </w:t>
      </w:r>
      <w:r w:rsidR="001A5741">
        <w:rPr>
          <w:sz w:val="24"/>
          <w:szCs w:val="24"/>
        </w:rPr>
        <w:t>I</w:t>
      </w:r>
      <w:r w:rsidR="005013E9">
        <w:rPr>
          <w:sz w:val="24"/>
          <w:szCs w:val="24"/>
        </w:rPr>
        <w:t xml:space="preserve"> Skjern Bank fortsætter I </w:t>
      </w:r>
      <w:r w:rsidR="001A5741">
        <w:rPr>
          <w:sz w:val="24"/>
          <w:szCs w:val="24"/>
        </w:rPr>
        <w:t xml:space="preserve">ufortrødent </w:t>
      </w:r>
      <w:r w:rsidR="005013E9">
        <w:rPr>
          <w:sz w:val="24"/>
          <w:szCs w:val="24"/>
        </w:rPr>
        <w:t xml:space="preserve">med at forbedre boniteten af </w:t>
      </w:r>
      <w:r w:rsidR="00865020">
        <w:rPr>
          <w:sz w:val="24"/>
          <w:szCs w:val="24"/>
        </w:rPr>
        <w:t xml:space="preserve">udlånsporteføljen og </w:t>
      </w:r>
      <w:r w:rsidR="00B30873">
        <w:rPr>
          <w:sz w:val="24"/>
          <w:szCs w:val="24"/>
        </w:rPr>
        <w:t xml:space="preserve">holder stadig </w:t>
      </w:r>
      <w:r w:rsidR="001A5741">
        <w:rPr>
          <w:sz w:val="24"/>
          <w:szCs w:val="24"/>
        </w:rPr>
        <w:t xml:space="preserve">hver af </w:t>
      </w:r>
      <w:r w:rsidR="00B30873">
        <w:rPr>
          <w:sz w:val="24"/>
          <w:szCs w:val="24"/>
        </w:rPr>
        <w:t xml:space="preserve">de traditionelt mest eksponerede </w:t>
      </w:r>
      <w:r w:rsidR="0072036D">
        <w:rPr>
          <w:sz w:val="24"/>
          <w:szCs w:val="24"/>
        </w:rPr>
        <w:t>kredit</w:t>
      </w:r>
      <w:r w:rsidR="00B30873">
        <w:rPr>
          <w:sz w:val="24"/>
          <w:szCs w:val="24"/>
        </w:rPr>
        <w:t xml:space="preserve">brancher </w:t>
      </w:r>
      <w:r w:rsidR="00BF5635">
        <w:rPr>
          <w:sz w:val="24"/>
          <w:szCs w:val="24"/>
        </w:rPr>
        <w:t xml:space="preserve">– landbrug og fast ejendom </w:t>
      </w:r>
      <w:r w:rsidR="0072036D">
        <w:rPr>
          <w:sz w:val="24"/>
          <w:szCs w:val="24"/>
        </w:rPr>
        <w:t>–</w:t>
      </w:r>
      <w:r w:rsidR="00BF5635">
        <w:rPr>
          <w:sz w:val="24"/>
          <w:szCs w:val="24"/>
        </w:rPr>
        <w:t xml:space="preserve"> </w:t>
      </w:r>
      <w:r w:rsidR="0072036D">
        <w:rPr>
          <w:sz w:val="24"/>
          <w:szCs w:val="24"/>
        </w:rPr>
        <w:t>under 10%.</w:t>
      </w:r>
    </w:p>
    <w:p w14:paraId="51F3C205" w14:textId="1A9602EF" w:rsidR="00270F53" w:rsidRDefault="00214B5A" w:rsidP="007B0B6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Skjern Bank deltager i </w:t>
      </w:r>
      <w:r w:rsidR="00270F53">
        <w:rPr>
          <w:sz w:val="24"/>
          <w:szCs w:val="24"/>
        </w:rPr>
        <w:t xml:space="preserve">Bankdata-samarbejdet, hvor </w:t>
      </w:r>
      <w:r>
        <w:rPr>
          <w:sz w:val="24"/>
          <w:szCs w:val="24"/>
        </w:rPr>
        <w:t xml:space="preserve">Jyske Bank </w:t>
      </w:r>
      <w:r w:rsidR="009878D0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2012 </w:t>
      </w:r>
      <w:r w:rsidR="006A4189">
        <w:rPr>
          <w:sz w:val="24"/>
          <w:szCs w:val="24"/>
        </w:rPr>
        <w:t xml:space="preserve">kom </w:t>
      </w:r>
      <w:r w:rsidR="009878D0">
        <w:rPr>
          <w:sz w:val="24"/>
          <w:szCs w:val="24"/>
        </w:rPr>
        <w:t xml:space="preserve">med på systemerne. Det gav </w:t>
      </w:r>
      <w:r w:rsidR="0051526D">
        <w:rPr>
          <w:sz w:val="24"/>
          <w:szCs w:val="24"/>
        </w:rPr>
        <w:t xml:space="preserve">dengang </w:t>
      </w:r>
      <w:r>
        <w:rPr>
          <w:sz w:val="24"/>
          <w:szCs w:val="24"/>
        </w:rPr>
        <w:t>Bankdata-bankerne en</w:t>
      </w:r>
      <w:r w:rsidR="001A5741">
        <w:rPr>
          <w:sz w:val="24"/>
          <w:szCs w:val="24"/>
        </w:rPr>
        <w:t xml:space="preserve"> </w:t>
      </w:r>
      <w:r w:rsidR="00384498">
        <w:rPr>
          <w:sz w:val="24"/>
          <w:szCs w:val="24"/>
        </w:rPr>
        <w:t xml:space="preserve">40% </w:t>
      </w:r>
      <w:r>
        <w:rPr>
          <w:sz w:val="24"/>
          <w:szCs w:val="24"/>
        </w:rPr>
        <w:t>IT-besparelse</w:t>
      </w:r>
      <w:r w:rsidR="009878D0">
        <w:rPr>
          <w:sz w:val="24"/>
          <w:szCs w:val="24"/>
        </w:rPr>
        <w:t xml:space="preserve">. </w:t>
      </w:r>
      <w:r>
        <w:rPr>
          <w:sz w:val="24"/>
          <w:szCs w:val="24"/>
        </w:rPr>
        <w:t>Sparekassernes SDC er for nylig solgt til IT-virksomheden Netcompany</w:t>
      </w:r>
      <w:r w:rsidR="0051526D">
        <w:rPr>
          <w:sz w:val="24"/>
          <w:szCs w:val="24"/>
        </w:rPr>
        <w:t xml:space="preserve">, som </w:t>
      </w:r>
      <w:r>
        <w:rPr>
          <w:sz w:val="24"/>
          <w:szCs w:val="24"/>
        </w:rPr>
        <w:t>ønsker at udvikle IT-ydelserne til finans</w:t>
      </w:r>
      <w:r w:rsidR="0051526D">
        <w:rPr>
          <w:sz w:val="24"/>
          <w:szCs w:val="24"/>
        </w:rPr>
        <w:t xml:space="preserve">sektoren i </w:t>
      </w:r>
      <w:r>
        <w:rPr>
          <w:sz w:val="24"/>
          <w:szCs w:val="24"/>
        </w:rPr>
        <w:t>Skandinavien.</w:t>
      </w:r>
    </w:p>
    <w:p w14:paraId="33DF309A" w14:textId="77777777" w:rsidR="00D345CE" w:rsidRDefault="000B4A03">
      <w:pPr>
        <w:spacing w:before="240" w:after="240"/>
        <w:rPr>
          <w:sz w:val="24"/>
          <w:szCs w:val="24"/>
        </w:rPr>
      </w:pPr>
      <w:r w:rsidRPr="000B4A03">
        <w:rPr>
          <w:sz w:val="24"/>
          <w:szCs w:val="24"/>
          <w:u w:val="single"/>
        </w:rPr>
        <w:lastRenderedPageBreak/>
        <w:t>Spørgsmål 1</w:t>
      </w:r>
      <w:r>
        <w:rPr>
          <w:sz w:val="24"/>
          <w:szCs w:val="24"/>
        </w:rPr>
        <w:br/>
      </w:r>
      <w:r w:rsidR="009878D0">
        <w:rPr>
          <w:sz w:val="24"/>
          <w:szCs w:val="24"/>
        </w:rPr>
        <w:t>Kan man forestille sig et besparelsespotentiale af samme størrelse</w:t>
      </w:r>
      <w:r w:rsidR="00E1590D">
        <w:rPr>
          <w:sz w:val="24"/>
          <w:szCs w:val="24"/>
        </w:rPr>
        <w:t>sorden som i 2012</w:t>
      </w:r>
      <w:r w:rsidR="009878D0">
        <w:rPr>
          <w:sz w:val="24"/>
          <w:szCs w:val="24"/>
        </w:rPr>
        <w:t xml:space="preserve">, </w:t>
      </w:r>
      <w:r w:rsidR="00E1590D">
        <w:rPr>
          <w:sz w:val="24"/>
          <w:szCs w:val="24"/>
        </w:rPr>
        <w:t xml:space="preserve">da Jyske Bank gik ind i Bankdata-samarbejdet, </w:t>
      </w:r>
      <w:r w:rsidR="009878D0">
        <w:rPr>
          <w:sz w:val="24"/>
          <w:szCs w:val="24"/>
        </w:rPr>
        <w:t>hvis Bankdata og SDC /Netcompany går sammen?</w:t>
      </w:r>
      <w:r w:rsidR="00E1590D">
        <w:rPr>
          <w:sz w:val="24"/>
          <w:szCs w:val="24"/>
        </w:rPr>
        <w:br/>
        <w:t>(</w:t>
      </w:r>
      <w:r w:rsidR="009878D0">
        <w:rPr>
          <w:sz w:val="24"/>
          <w:szCs w:val="24"/>
        </w:rPr>
        <w:t>Sidste år nævnte jeg, at IT-udgifterne er 45% af lønsummen</w:t>
      </w:r>
      <w:r w:rsidR="00E1590D">
        <w:rPr>
          <w:sz w:val="24"/>
          <w:szCs w:val="24"/>
        </w:rPr>
        <w:t xml:space="preserve">, i </w:t>
      </w:r>
      <w:r w:rsidR="009878D0">
        <w:rPr>
          <w:sz w:val="24"/>
          <w:szCs w:val="24"/>
        </w:rPr>
        <w:t xml:space="preserve">år </w:t>
      </w:r>
      <w:r w:rsidR="00E1590D">
        <w:rPr>
          <w:sz w:val="24"/>
          <w:szCs w:val="24"/>
        </w:rPr>
        <w:t xml:space="preserve">er det </w:t>
      </w:r>
      <w:r w:rsidR="009878D0">
        <w:rPr>
          <w:sz w:val="24"/>
          <w:szCs w:val="24"/>
        </w:rPr>
        <w:t>47,5%</w:t>
      </w:r>
      <w:r w:rsidR="00E442D1">
        <w:rPr>
          <w:sz w:val="24"/>
          <w:szCs w:val="24"/>
        </w:rPr>
        <w:t xml:space="preserve">. Løn er steget 10% og IT 15%. </w:t>
      </w:r>
      <w:r w:rsidR="00E1590D">
        <w:rPr>
          <w:sz w:val="24"/>
          <w:szCs w:val="24"/>
        </w:rPr>
        <w:t xml:space="preserve">IT </w:t>
      </w:r>
      <w:r w:rsidR="00384498">
        <w:rPr>
          <w:sz w:val="24"/>
          <w:szCs w:val="24"/>
        </w:rPr>
        <w:t xml:space="preserve">udgifterne er op fra 52 mio kr til </w:t>
      </w:r>
      <w:r w:rsidR="009878D0">
        <w:rPr>
          <w:sz w:val="24"/>
          <w:szCs w:val="24"/>
        </w:rPr>
        <w:t>60 mio kr )</w:t>
      </w:r>
    </w:p>
    <w:p w14:paraId="7D25E4EA" w14:textId="71F0875A" w:rsidR="00BD01B9" w:rsidRDefault="00D345CE">
      <w:pPr>
        <w:spacing w:before="240" w:after="240"/>
        <w:rPr>
          <w:sz w:val="24"/>
          <w:szCs w:val="24"/>
        </w:rPr>
      </w:pPr>
      <w:r w:rsidRPr="005B22F5">
        <w:rPr>
          <w:color w:val="FF0000"/>
          <w:sz w:val="24"/>
          <w:szCs w:val="24"/>
        </w:rPr>
        <w:t>Svar:</w:t>
      </w:r>
      <w:r w:rsidRPr="005B22F5">
        <w:rPr>
          <w:color w:val="FF0000"/>
          <w:sz w:val="24"/>
          <w:szCs w:val="24"/>
        </w:rPr>
        <w:br/>
      </w:r>
      <w:r w:rsidR="00705DD2" w:rsidRPr="005B22F5">
        <w:rPr>
          <w:color w:val="FF0000"/>
          <w:sz w:val="24"/>
          <w:szCs w:val="24"/>
        </w:rPr>
        <w:t xml:space="preserve">Når sparekasserne </w:t>
      </w:r>
      <w:r w:rsidR="00BD3F04" w:rsidRPr="005B22F5">
        <w:rPr>
          <w:color w:val="FF0000"/>
          <w:sz w:val="24"/>
          <w:szCs w:val="24"/>
        </w:rPr>
        <w:t xml:space="preserve">har solgt SDC til Netcompany, er forretningen </w:t>
      </w:r>
      <w:r w:rsidR="00AE2706" w:rsidRPr="005B22F5">
        <w:rPr>
          <w:color w:val="FF0000"/>
          <w:sz w:val="24"/>
          <w:szCs w:val="24"/>
        </w:rPr>
        <w:t>ændret fra at være foreningsbaseret til at være driftsøkonomisk i traditionel forstand med krav om indtjening af overskud fra IT aktivi</w:t>
      </w:r>
      <w:r w:rsidR="00482581" w:rsidRPr="005B22F5">
        <w:rPr>
          <w:color w:val="FF0000"/>
          <w:sz w:val="24"/>
          <w:szCs w:val="24"/>
        </w:rPr>
        <w:t>teterne. I Bankdata er det fortsat en forening, som kun forsøger at møde medlemmernes behov billigst muligt – dvs</w:t>
      </w:r>
      <w:r w:rsidR="005B22F5" w:rsidRPr="005B22F5">
        <w:rPr>
          <w:color w:val="FF0000"/>
          <w:sz w:val="24"/>
          <w:szCs w:val="24"/>
        </w:rPr>
        <w:t>.</w:t>
      </w:r>
      <w:r w:rsidR="00482581" w:rsidRPr="005B22F5">
        <w:rPr>
          <w:color w:val="FF0000"/>
          <w:sz w:val="24"/>
          <w:szCs w:val="24"/>
        </w:rPr>
        <w:t xml:space="preserve"> uden overskudskrav</w:t>
      </w:r>
      <w:r w:rsidR="005B22F5" w:rsidRPr="005B22F5">
        <w:rPr>
          <w:color w:val="FF0000"/>
          <w:sz w:val="24"/>
          <w:szCs w:val="24"/>
        </w:rPr>
        <w:t>.</w:t>
      </w:r>
      <w:r w:rsidR="00BD3F04">
        <w:rPr>
          <w:sz w:val="24"/>
          <w:szCs w:val="24"/>
        </w:rPr>
        <w:t xml:space="preserve"> </w:t>
      </w:r>
      <w:r w:rsidR="00BD01B9">
        <w:rPr>
          <w:sz w:val="24"/>
          <w:szCs w:val="24"/>
        </w:rPr>
        <w:br/>
      </w:r>
    </w:p>
    <w:p w14:paraId="49310FD2" w14:textId="48EEA504" w:rsidR="00BD01B9" w:rsidRDefault="00AB69F8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Det er spændende at læse, hvordan banken gør brug af kunstig intelligens </w:t>
      </w:r>
      <w:r w:rsidR="0013561C">
        <w:rPr>
          <w:sz w:val="24"/>
          <w:szCs w:val="24"/>
        </w:rPr>
        <w:t xml:space="preserve">i forbindelse med </w:t>
      </w:r>
      <w:r>
        <w:rPr>
          <w:sz w:val="24"/>
          <w:szCs w:val="24"/>
        </w:rPr>
        <w:t>kundebetjening og i kampen mod hvidvask</w:t>
      </w:r>
      <w:r w:rsidR="0013561C">
        <w:rPr>
          <w:sz w:val="24"/>
          <w:szCs w:val="24"/>
        </w:rPr>
        <w:t>, og man får en klar fornemmelse af, at AI /kunstig intelligens allerede nu er blevet et uundværligt hjælperedskab, selvom AI kun er i sin vorden</w:t>
      </w:r>
      <w:r w:rsidR="006A4189">
        <w:rPr>
          <w:sz w:val="24"/>
          <w:szCs w:val="24"/>
        </w:rPr>
        <w:t xml:space="preserve"> og meget mere hurtigt er på vej</w:t>
      </w:r>
      <w:r w:rsidR="0013561C">
        <w:rPr>
          <w:sz w:val="24"/>
          <w:szCs w:val="24"/>
        </w:rPr>
        <w:t>.</w:t>
      </w:r>
    </w:p>
    <w:p w14:paraId="565B1385" w14:textId="40697240" w:rsidR="0013561C" w:rsidRDefault="0013561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ESG rapporten er </w:t>
      </w:r>
      <w:r w:rsidR="006A4189">
        <w:rPr>
          <w:sz w:val="24"/>
          <w:szCs w:val="24"/>
        </w:rPr>
        <w:t xml:space="preserve">som sidste år </w:t>
      </w:r>
      <w:r>
        <w:rPr>
          <w:sz w:val="24"/>
          <w:szCs w:val="24"/>
        </w:rPr>
        <w:t xml:space="preserve">igen et meget imponerende værk, og banken fortjener </w:t>
      </w:r>
      <w:r w:rsidR="0051526D">
        <w:rPr>
          <w:sz w:val="24"/>
          <w:szCs w:val="24"/>
        </w:rPr>
        <w:t xml:space="preserve">igen </w:t>
      </w:r>
      <w:r>
        <w:rPr>
          <w:sz w:val="24"/>
          <w:szCs w:val="24"/>
        </w:rPr>
        <w:t>stor ros for indsats</w:t>
      </w:r>
      <w:r w:rsidR="00A77C6B">
        <w:rPr>
          <w:sz w:val="24"/>
          <w:szCs w:val="24"/>
        </w:rPr>
        <w:t>en</w:t>
      </w:r>
      <w:r>
        <w:rPr>
          <w:sz w:val="24"/>
          <w:szCs w:val="24"/>
        </w:rPr>
        <w:t xml:space="preserve">. Det går </w:t>
      </w:r>
      <w:r w:rsidR="00A77C6B">
        <w:rPr>
          <w:sz w:val="24"/>
          <w:szCs w:val="24"/>
        </w:rPr>
        <w:t xml:space="preserve">som en rød tråd </w:t>
      </w:r>
      <w:r>
        <w:rPr>
          <w:sz w:val="24"/>
          <w:szCs w:val="24"/>
        </w:rPr>
        <w:t>igennem rapporten, at nøglen hele tiden er data. Data som antal medarbejdere, sygedage og gennemsnitsalder bygger på konkrete</w:t>
      </w:r>
      <w:r w:rsidR="006C35D2">
        <w:rPr>
          <w:sz w:val="24"/>
          <w:szCs w:val="24"/>
        </w:rPr>
        <w:t xml:space="preserve">, tilgængelige </w:t>
      </w:r>
      <w:r>
        <w:rPr>
          <w:sz w:val="24"/>
          <w:szCs w:val="24"/>
        </w:rPr>
        <w:t>målbare data. Men mange tal – f.eks. data om CO₂ udslip – er fastsat skønsmæssigt. Enten af banken eller bl.a. af LOPI (bankens brancheforening L</w:t>
      </w:r>
      <w:r w:rsidR="006C35D2">
        <w:rPr>
          <w:sz w:val="24"/>
          <w:szCs w:val="24"/>
        </w:rPr>
        <w:t>O</w:t>
      </w:r>
      <w:r>
        <w:rPr>
          <w:sz w:val="24"/>
          <w:szCs w:val="24"/>
        </w:rPr>
        <w:t xml:space="preserve">kale PengeInstitutter). Andre data </w:t>
      </w:r>
      <w:r w:rsidR="00BD000C">
        <w:rPr>
          <w:sz w:val="24"/>
          <w:szCs w:val="24"/>
        </w:rPr>
        <w:t xml:space="preserve">stammer fra Finansdanmark og Forum for Bæredygtig Finans. I takt med større viden kan skønnene ændre sig, og dermed </w:t>
      </w:r>
      <w:r w:rsidR="006C35D2">
        <w:rPr>
          <w:sz w:val="24"/>
          <w:szCs w:val="24"/>
        </w:rPr>
        <w:t xml:space="preserve">skrider </w:t>
      </w:r>
      <w:r w:rsidR="00A77C6B">
        <w:rPr>
          <w:sz w:val="24"/>
          <w:szCs w:val="24"/>
        </w:rPr>
        <w:t xml:space="preserve">muligheden for at </w:t>
      </w:r>
      <w:r w:rsidR="00BD000C">
        <w:rPr>
          <w:sz w:val="24"/>
          <w:szCs w:val="24"/>
        </w:rPr>
        <w:t>sammenligne</w:t>
      </w:r>
      <w:r w:rsidR="006C35D2">
        <w:rPr>
          <w:sz w:val="24"/>
          <w:szCs w:val="24"/>
        </w:rPr>
        <w:t xml:space="preserve"> fra år til år</w:t>
      </w:r>
      <w:r w:rsidR="00A77C6B">
        <w:rPr>
          <w:sz w:val="24"/>
          <w:szCs w:val="24"/>
        </w:rPr>
        <w:t>.</w:t>
      </w:r>
    </w:p>
    <w:p w14:paraId="65295F9D" w14:textId="77777777" w:rsidR="005B682A" w:rsidRDefault="005B682A">
      <w:pPr>
        <w:spacing w:before="240" w:after="240"/>
        <w:rPr>
          <w:sz w:val="24"/>
          <w:szCs w:val="24"/>
        </w:rPr>
      </w:pPr>
    </w:p>
    <w:p w14:paraId="0DD883DE" w14:textId="77777777" w:rsidR="00446516" w:rsidRDefault="00BD01B9">
      <w:pPr>
        <w:spacing w:before="240" w:after="240"/>
        <w:rPr>
          <w:sz w:val="24"/>
          <w:szCs w:val="24"/>
        </w:rPr>
      </w:pPr>
      <w:r w:rsidRPr="00BD01B9">
        <w:rPr>
          <w:sz w:val="24"/>
          <w:szCs w:val="24"/>
          <w:u w:val="single"/>
        </w:rPr>
        <w:t>Spørgsmål 2</w:t>
      </w:r>
      <w:r>
        <w:rPr>
          <w:sz w:val="24"/>
          <w:szCs w:val="24"/>
        </w:rPr>
        <w:br/>
      </w:r>
      <w:r w:rsidR="005B682A">
        <w:rPr>
          <w:sz w:val="24"/>
          <w:szCs w:val="24"/>
        </w:rPr>
        <w:t>Genkender Skjern Bank</w:t>
      </w:r>
      <w:r w:rsidR="0051526D">
        <w:rPr>
          <w:sz w:val="24"/>
          <w:szCs w:val="24"/>
        </w:rPr>
        <w:t xml:space="preserve"> opfattelsen af, at EU’s rapporteringskrav mere har karakter af et betydeligt benspænd for banken end at tilføre værdi til processen med meget detaljeret og omfangsrig ESG-rapportering?</w:t>
      </w:r>
      <w:r w:rsidR="0051526D">
        <w:rPr>
          <w:sz w:val="24"/>
          <w:szCs w:val="24"/>
        </w:rPr>
        <w:br/>
        <w:t xml:space="preserve">(eller med andre ord, at de </w:t>
      </w:r>
      <w:r w:rsidR="00BD000C">
        <w:rPr>
          <w:sz w:val="24"/>
          <w:szCs w:val="24"/>
        </w:rPr>
        <w:t xml:space="preserve">investerede ressourcer </w:t>
      </w:r>
      <w:r w:rsidR="0051526D">
        <w:rPr>
          <w:sz w:val="24"/>
          <w:szCs w:val="24"/>
        </w:rPr>
        <w:t xml:space="preserve">i rapportering </w:t>
      </w:r>
      <w:r w:rsidR="00BD000C">
        <w:rPr>
          <w:sz w:val="24"/>
          <w:szCs w:val="24"/>
        </w:rPr>
        <w:t xml:space="preserve">står </w:t>
      </w:r>
      <w:r w:rsidR="0051526D">
        <w:rPr>
          <w:sz w:val="24"/>
          <w:szCs w:val="24"/>
        </w:rPr>
        <w:t xml:space="preserve">ikke </w:t>
      </w:r>
      <w:r w:rsidR="00BD000C">
        <w:rPr>
          <w:sz w:val="24"/>
          <w:szCs w:val="24"/>
        </w:rPr>
        <w:t>i et rimeligt forhold til nytteværdien</w:t>
      </w:r>
      <w:r w:rsidR="00A77C6B">
        <w:rPr>
          <w:sz w:val="24"/>
          <w:szCs w:val="24"/>
        </w:rPr>
        <w:t xml:space="preserve"> som udtrykt af Mario Draghi</w:t>
      </w:r>
      <w:r w:rsidR="0051526D">
        <w:rPr>
          <w:sz w:val="24"/>
          <w:szCs w:val="24"/>
        </w:rPr>
        <w:t>)</w:t>
      </w:r>
    </w:p>
    <w:p w14:paraId="37632A0E" w14:textId="4AE5780E" w:rsidR="00EB6608" w:rsidRPr="0032448F" w:rsidRDefault="005B22F5">
      <w:pPr>
        <w:spacing w:before="240" w:after="240"/>
        <w:rPr>
          <w:color w:val="FF0000"/>
          <w:sz w:val="24"/>
          <w:szCs w:val="24"/>
        </w:rPr>
      </w:pPr>
      <w:r w:rsidRPr="0032448F">
        <w:rPr>
          <w:color w:val="FF0000"/>
          <w:sz w:val="24"/>
          <w:szCs w:val="24"/>
        </w:rPr>
        <w:t>Svar:</w:t>
      </w:r>
      <w:r w:rsidRPr="0032448F">
        <w:rPr>
          <w:color w:val="FF0000"/>
          <w:sz w:val="24"/>
          <w:szCs w:val="24"/>
        </w:rPr>
        <w:br/>
      </w:r>
      <w:r w:rsidR="00446516" w:rsidRPr="0032448F">
        <w:rPr>
          <w:color w:val="FF0000"/>
          <w:sz w:val="24"/>
          <w:szCs w:val="24"/>
        </w:rPr>
        <w:t xml:space="preserve">Svært at vurdere hvor meget det koster, men EU krævet rapportering </w:t>
      </w:r>
      <w:r w:rsidR="001F2A41" w:rsidRPr="0032448F">
        <w:rPr>
          <w:color w:val="FF0000"/>
          <w:sz w:val="24"/>
          <w:szCs w:val="24"/>
        </w:rPr>
        <w:t xml:space="preserve">er krævende, og den danske tradition om at overimplementere er </w:t>
      </w:r>
      <w:r w:rsidR="0032448F" w:rsidRPr="0032448F">
        <w:rPr>
          <w:color w:val="FF0000"/>
          <w:sz w:val="24"/>
          <w:szCs w:val="24"/>
        </w:rPr>
        <w:t>krævende og dyr.</w:t>
      </w:r>
    </w:p>
    <w:p w14:paraId="4D7F5B7D" w14:textId="01876CB2" w:rsidR="00E67E20" w:rsidRDefault="000452F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Til slut </w:t>
      </w:r>
      <w:r w:rsidR="0051526D">
        <w:rPr>
          <w:sz w:val="24"/>
          <w:szCs w:val="24"/>
        </w:rPr>
        <w:t>tillykke med endnu et særdeles flot resultat.</w:t>
      </w:r>
    </w:p>
    <w:sectPr w:rsidR="00E67E20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DB09C" w14:textId="77777777" w:rsidR="009040A3" w:rsidRDefault="009040A3">
      <w:pPr>
        <w:spacing w:after="0" w:line="240" w:lineRule="auto"/>
      </w:pPr>
      <w:r>
        <w:separator/>
      </w:r>
    </w:p>
  </w:endnote>
  <w:endnote w:type="continuationSeparator" w:id="0">
    <w:p w14:paraId="53778494" w14:textId="77777777" w:rsidR="009040A3" w:rsidRDefault="00904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BC6EB" w14:textId="77777777" w:rsidR="00E67E20" w:rsidRDefault="00E67E20">
    <w:pPr>
      <w:pBdr>
        <w:top w:val="nil"/>
        <w:left w:val="nil"/>
        <w:bottom w:val="single" w:sz="4" w:space="2" w:color="000000"/>
        <w:right w:val="nil"/>
        <w:between w:val="nil"/>
      </w:pBdr>
      <w:tabs>
        <w:tab w:val="center" w:pos="4819"/>
        <w:tab w:val="right" w:pos="9638"/>
      </w:tabs>
      <w:spacing w:before="120" w:after="0" w:line="240" w:lineRule="auto"/>
      <w:jc w:val="center"/>
      <w:rPr>
        <w:color w:val="000000"/>
        <w:sz w:val="16"/>
        <w:szCs w:val="16"/>
      </w:rPr>
    </w:pPr>
  </w:p>
  <w:p w14:paraId="3F1B1025" w14:textId="77777777" w:rsidR="00E67E20" w:rsidRDefault="000452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20" w:after="0" w:line="240" w:lineRule="auto"/>
      <w:jc w:val="center"/>
      <w:rPr>
        <w:color w:val="000000"/>
        <w:sz w:val="16"/>
        <w:szCs w:val="16"/>
      </w:rPr>
    </w:pPr>
    <w:r>
      <w:rPr>
        <w:rFonts w:ascii="Times New Roman" w:eastAsia="Times New Roman" w:hAnsi="Times New Roman" w:cs="Times New Roman"/>
        <w:noProof/>
        <w:color w:val="000000"/>
        <w:sz w:val="16"/>
        <w:szCs w:val="16"/>
      </w:rPr>
      <w:drawing>
        <wp:inline distT="0" distB="0" distL="0" distR="0" wp14:anchorId="33C0F2EE" wp14:editId="0C345760">
          <wp:extent cx="2333625" cy="2381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3625" cy="238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472F11" w14:textId="77777777" w:rsidR="00E67E20" w:rsidRDefault="000452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20"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Side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af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16"/>
        <w:szCs w:val="16"/>
      </w:rPr>
      <w:t>2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end"/>
    </w:r>
  </w:p>
  <w:p w14:paraId="21E54790" w14:textId="77777777" w:rsidR="00E67E20" w:rsidRDefault="000452F7">
    <w:pPr>
      <w:pBdr>
        <w:top w:val="nil"/>
        <w:left w:val="nil"/>
        <w:bottom w:val="nil"/>
        <w:right w:val="nil"/>
        <w:between w:val="nil"/>
      </w:pBdr>
      <w:tabs>
        <w:tab w:val="left" w:pos="2710"/>
        <w:tab w:val="center" w:pos="4819"/>
        <w:tab w:val="right" w:pos="9638"/>
      </w:tabs>
      <w:spacing w:before="120"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color w:val="000000"/>
        <w:sz w:val="16"/>
        <w:szCs w:val="16"/>
      </w:rPr>
      <w:t>Internt talepapir. Ikke til publicering. Det talte ord gælder.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68E74" w14:textId="77777777" w:rsidR="009040A3" w:rsidRDefault="009040A3">
      <w:pPr>
        <w:spacing w:after="0" w:line="240" w:lineRule="auto"/>
      </w:pPr>
      <w:r>
        <w:separator/>
      </w:r>
    </w:p>
  </w:footnote>
  <w:footnote w:type="continuationSeparator" w:id="0">
    <w:p w14:paraId="3EEC2307" w14:textId="77777777" w:rsidR="009040A3" w:rsidRDefault="00904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813A6" w14:textId="4BBE5A3D" w:rsidR="00E67E20" w:rsidRPr="00796099" w:rsidRDefault="007960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796099">
      <w:rPr>
        <w:rFonts w:ascii="Arial" w:eastAsia="Arial" w:hAnsi="Arial" w:cs="Arial"/>
        <w:sz w:val="20"/>
        <w:szCs w:val="20"/>
      </w:rPr>
      <w:t xml:space="preserve">Skjern Bank </w:t>
    </w:r>
    <w:r w:rsidR="006462A2">
      <w:rPr>
        <w:rFonts w:ascii="Arial" w:eastAsia="Arial" w:hAnsi="Arial" w:cs="Arial"/>
        <w:sz w:val="20"/>
        <w:szCs w:val="20"/>
      </w:rPr>
      <w:t>3</w:t>
    </w:r>
    <w:r w:rsidR="00B978A4" w:rsidRPr="00796099">
      <w:rPr>
        <w:rFonts w:ascii="Arial" w:eastAsia="Arial" w:hAnsi="Arial" w:cs="Arial"/>
        <w:sz w:val="20"/>
        <w:szCs w:val="20"/>
      </w:rPr>
      <w:t xml:space="preserve">. </w:t>
    </w:r>
    <w:r>
      <w:rPr>
        <w:rFonts w:ascii="Arial" w:eastAsia="Arial" w:hAnsi="Arial" w:cs="Arial"/>
        <w:sz w:val="20"/>
        <w:szCs w:val="20"/>
      </w:rPr>
      <w:t>marts 202</w:t>
    </w:r>
    <w:r w:rsidR="006462A2">
      <w:rPr>
        <w:rFonts w:ascii="Arial" w:eastAsia="Arial" w:hAnsi="Arial" w:cs="Arial"/>
        <w:sz w:val="20"/>
        <w:szCs w:val="20"/>
      </w:rPr>
      <w:t>5</w:t>
    </w:r>
    <w:r>
      <w:rPr>
        <w:rFonts w:ascii="Arial" w:eastAsia="Arial" w:hAnsi="Arial" w:cs="Arial"/>
        <w:sz w:val="20"/>
        <w:szCs w:val="20"/>
      </w:rPr>
      <w:t xml:space="preserve"> </w:t>
    </w:r>
    <w:r w:rsidR="000452F7" w:rsidRPr="00796099">
      <w:rPr>
        <w:rFonts w:ascii="Arial" w:eastAsia="Arial" w:hAnsi="Arial" w:cs="Arial"/>
        <w:color w:val="000000"/>
        <w:sz w:val="20"/>
        <w:szCs w:val="20"/>
      </w:rPr>
      <w:t xml:space="preserve">▪ </w:t>
    </w:r>
    <w:r w:rsidR="000452F7" w:rsidRPr="00796099">
      <w:rPr>
        <w:rFonts w:ascii="Arial" w:eastAsia="Arial" w:hAnsi="Arial" w:cs="Arial"/>
        <w:sz w:val="20"/>
        <w:szCs w:val="20"/>
      </w:rPr>
      <w:t>Anders Nørskov</w:t>
    </w:r>
  </w:p>
  <w:p w14:paraId="73969DC5" w14:textId="77777777" w:rsidR="00E67E20" w:rsidRPr="00796099" w:rsidRDefault="00E67E20">
    <w:pPr>
      <w:pBdr>
        <w:top w:val="single" w:sz="4" w:space="1" w:color="000000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E656F"/>
    <w:multiLevelType w:val="hybridMultilevel"/>
    <w:tmpl w:val="22404E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05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20"/>
    <w:rsid w:val="00026479"/>
    <w:rsid w:val="000452F7"/>
    <w:rsid w:val="000852EB"/>
    <w:rsid w:val="000B4A03"/>
    <w:rsid w:val="000B66F5"/>
    <w:rsid w:val="000E7924"/>
    <w:rsid w:val="001216DC"/>
    <w:rsid w:val="0013561C"/>
    <w:rsid w:val="00147403"/>
    <w:rsid w:val="00160415"/>
    <w:rsid w:val="001904AF"/>
    <w:rsid w:val="001A5741"/>
    <w:rsid w:val="001B3FE4"/>
    <w:rsid w:val="001D5036"/>
    <w:rsid w:val="001F2A41"/>
    <w:rsid w:val="00213190"/>
    <w:rsid w:val="00214B5A"/>
    <w:rsid w:val="00225B33"/>
    <w:rsid w:val="00233F89"/>
    <w:rsid w:val="002357BB"/>
    <w:rsid w:val="00250577"/>
    <w:rsid w:val="002511E0"/>
    <w:rsid w:val="00270F53"/>
    <w:rsid w:val="00276763"/>
    <w:rsid w:val="002B5F6C"/>
    <w:rsid w:val="002C5935"/>
    <w:rsid w:val="002D587F"/>
    <w:rsid w:val="002E333D"/>
    <w:rsid w:val="002F67F0"/>
    <w:rsid w:val="0032448F"/>
    <w:rsid w:val="00340A58"/>
    <w:rsid w:val="003561C2"/>
    <w:rsid w:val="00382FDD"/>
    <w:rsid w:val="00384498"/>
    <w:rsid w:val="0038542B"/>
    <w:rsid w:val="003904C9"/>
    <w:rsid w:val="0039449F"/>
    <w:rsid w:val="003A4C7E"/>
    <w:rsid w:val="003D459B"/>
    <w:rsid w:val="00403F30"/>
    <w:rsid w:val="0041452D"/>
    <w:rsid w:val="00434824"/>
    <w:rsid w:val="00446516"/>
    <w:rsid w:val="00472C81"/>
    <w:rsid w:val="00482581"/>
    <w:rsid w:val="004E2B60"/>
    <w:rsid w:val="004E4CCF"/>
    <w:rsid w:val="004E6424"/>
    <w:rsid w:val="005013E9"/>
    <w:rsid w:val="0051526D"/>
    <w:rsid w:val="00571488"/>
    <w:rsid w:val="005755CC"/>
    <w:rsid w:val="005B22F5"/>
    <w:rsid w:val="005B682A"/>
    <w:rsid w:val="005E5F2C"/>
    <w:rsid w:val="00621FC3"/>
    <w:rsid w:val="00643C84"/>
    <w:rsid w:val="006462A2"/>
    <w:rsid w:val="00651682"/>
    <w:rsid w:val="006552DB"/>
    <w:rsid w:val="00667ACA"/>
    <w:rsid w:val="00677188"/>
    <w:rsid w:val="006A4189"/>
    <w:rsid w:val="006B1C52"/>
    <w:rsid w:val="006C35D2"/>
    <w:rsid w:val="006C5723"/>
    <w:rsid w:val="006E01C9"/>
    <w:rsid w:val="006F2233"/>
    <w:rsid w:val="00704530"/>
    <w:rsid w:val="00705DD2"/>
    <w:rsid w:val="0072036D"/>
    <w:rsid w:val="00741795"/>
    <w:rsid w:val="0075495A"/>
    <w:rsid w:val="0076571C"/>
    <w:rsid w:val="00796099"/>
    <w:rsid w:val="007A6858"/>
    <w:rsid w:val="007B0B67"/>
    <w:rsid w:val="007B71BD"/>
    <w:rsid w:val="007C1420"/>
    <w:rsid w:val="007C16D0"/>
    <w:rsid w:val="007E7C65"/>
    <w:rsid w:val="00814AA3"/>
    <w:rsid w:val="00865020"/>
    <w:rsid w:val="008B336B"/>
    <w:rsid w:val="008D7092"/>
    <w:rsid w:val="009029D2"/>
    <w:rsid w:val="009040A3"/>
    <w:rsid w:val="00930C8B"/>
    <w:rsid w:val="00936452"/>
    <w:rsid w:val="00943BAE"/>
    <w:rsid w:val="009878D0"/>
    <w:rsid w:val="009A5800"/>
    <w:rsid w:val="009F601F"/>
    <w:rsid w:val="00A2037C"/>
    <w:rsid w:val="00A6193F"/>
    <w:rsid w:val="00A61E14"/>
    <w:rsid w:val="00A766A4"/>
    <w:rsid w:val="00A77AB7"/>
    <w:rsid w:val="00A77C6B"/>
    <w:rsid w:val="00A83B06"/>
    <w:rsid w:val="00A85558"/>
    <w:rsid w:val="00A90413"/>
    <w:rsid w:val="00AB2334"/>
    <w:rsid w:val="00AB69F8"/>
    <w:rsid w:val="00AE17C5"/>
    <w:rsid w:val="00AE2706"/>
    <w:rsid w:val="00B30873"/>
    <w:rsid w:val="00B33A26"/>
    <w:rsid w:val="00B404B9"/>
    <w:rsid w:val="00B479F9"/>
    <w:rsid w:val="00B569C3"/>
    <w:rsid w:val="00B56CF5"/>
    <w:rsid w:val="00B62A54"/>
    <w:rsid w:val="00B70D9E"/>
    <w:rsid w:val="00B90300"/>
    <w:rsid w:val="00B978A4"/>
    <w:rsid w:val="00BD000C"/>
    <w:rsid w:val="00BD01B9"/>
    <w:rsid w:val="00BD3F04"/>
    <w:rsid w:val="00BE4D84"/>
    <w:rsid w:val="00BF5635"/>
    <w:rsid w:val="00C06422"/>
    <w:rsid w:val="00C302F0"/>
    <w:rsid w:val="00C7483E"/>
    <w:rsid w:val="00CF3BE8"/>
    <w:rsid w:val="00D345CE"/>
    <w:rsid w:val="00D34D24"/>
    <w:rsid w:val="00D56A34"/>
    <w:rsid w:val="00D926D5"/>
    <w:rsid w:val="00DB1C9C"/>
    <w:rsid w:val="00DB4E0D"/>
    <w:rsid w:val="00DB53D2"/>
    <w:rsid w:val="00E00DD1"/>
    <w:rsid w:val="00E1590D"/>
    <w:rsid w:val="00E202A8"/>
    <w:rsid w:val="00E30132"/>
    <w:rsid w:val="00E442D1"/>
    <w:rsid w:val="00E5166F"/>
    <w:rsid w:val="00E536B0"/>
    <w:rsid w:val="00E53B9B"/>
    <w:rsid w:val="00E60936"/>
    <w:rsid w:val="00E67E20"/>
    <w:rsid w:val="00E72925"/>
    <w:rsid w:val="00E915D0"/>
    <w:rsid w:val="00E91AA5"/>
    <w:rsid w:val="00EB4CA3"/>
    <w:rsid w:val="00EB6608"/>
    <w:rsid w:val="00EB7C3D"/>
    <w:rsid w:val="00F30A51"/>
    <w:rsid w:val="00F6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6DCA"/>
  <w15:docId w15:val="{7A685F5F-0456-4600-AC4B-5C07BE65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widowControl w:val="0"/>
      <w:pBdr>
        <w:top w:val="nil"/>
        <w:left w:val="nil"/>
        <w:bottom w:val="nil"/>
        <w:right w:val="nil"/>
        <w:between w:val="nil"/>
      </w:pBdr>
      <w:spacing w:before="480" w:after="120"/>
      <w:ind w:left="432" w:hanging="432"/>
      <w:outlineLvl w:val="0"/>
    </w:pPr>
    <w:rPr>
      <w:b/>
      <w:color w:val="000000"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widowControl w:val="0"/>
      <w:pBdr>
        <w:top w:val="nil"/>
        <w:left w:val="nil"/>
        <w:bottom w:val="nil"/>
        <w:right w:val="nil"/>
        <w:between w:val="nil"/>
      </w:pBdr>
      <w:spacing w:before="360" w:after="80"/>
      <w:ind w:left="576" w:hanging="576"/>
      <w:outlineLvl w:val="1"/>
    </w:pPr>
    <w:rPr>
      <w:b/>
      <w:color w:val="000000"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widowControl w:val="0"/>
      <w:pBdr>
        <w:top w:val="nil"/>
        <w:left w:val="nil"/>
        <w:bottom w:val="nil"/>
        <w:right w:val="nil"/>
        <w:between w:val="nil"/>
      </w:pBdr>
      <w:spacing w:before="280" w:after="80"/>
      <w:ind w:left="720" w:hanging="720"/>
      <w:outlineLvl w:val="2"/>
    </w:pPr>
    <w:rPr>
      <w:b/>
      <w:color w:val="000000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widowControl w:val="0"/>
      <w:pBdr>
        <w:top w:val="nil"/>
        <w:left w:val="nil"/>
        <w:bottom w:val="nil"/>
        <w:right w:val="nil"/>
        <w:between w:val="nil"/>
      </w:pBdr>
      <w:spacing w:before="240" w:after="40"/>
      <w:ind w:left="864" w:hanging="864"/>
      <w:outlineLvl w:val="3"/>
    </w:pPr>
    <w:rPr>
      <w:b/>
      <w:color w:val="000000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widowControl w:val="0"/>
      <w:pBdr>
        <w:top w:val="nil"/>
        <w:left w:val="nil"/>
        <w:bottom w:val="nil"/>
        <w:right w:val="nil"/>
        <w:between w:val="nil"/>
      </w:pBdr>
      <w:spacing w:before="220" w:after="40"/>
      <w:ind w:left="1008" w:hanging="1008"/>
      <w:outlineLvl w:val="4"/>
    </w:pPr>
    <w:rPr>
      <w:b/>
      <w:color w:val="000000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widowControl w:val="0"/>
      <w:pBdr>
        <w:top w:val="nil"/>
        <w:left w:val="nil"/>
        <w:bottom w:val="nil"/>
        <w:right w:val="nil"/>
        <w:between w:val="nil"/>
      </w:pBdr>
      <w:spacing w:before="200" w:after="40"/>
      <w:ind w:left="1152" w:hanging="1152"/>
      <w:outlineLvl w:val="5"/>
    </w:pPr>
    <w:rPr>
      <w:b/>
      <w:color w:val="00000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ehoved">
    <w:name w:val="header"/>
    <w:basedOn w:val="Normal"/>
    <w:link w:val="SidehovedTegn"/>
    <w:uiPriority w:val="99"/>
    <w:unhideWhenUsed/>
    <w:rsid w:val="00B62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2A54"/>
  </w:style>
  <w:style w:type="paragraph" w:styleId="Sidefod">
    <w:name w:val="footer"/>
    <w:basedOn w:val="Normal"/>
    <w:link w:val="SidefodTegn"/>
    <w:uiPriority w:val="99"/>
    <w:unhideWhenUsed/>
    <w:rsid w:val="00B62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2A54"/>
  </w:style>
  <w:style w:type="paragraph" w:styleId="Listeafsnit">
    <w:name w:val="List Paragraph"/>
    <w:basedOn w:val="Normal"/>
    <w:uiPriority w:val="34"/>
    <w:qFormat/>
    <w:rsid w:val="002C5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F746B-C516-4A91-BC73-030497A6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653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Nørskov</dc:creator>
  <cp:lastModifiedBy>Anders Nørskov</cp:lastModifiedBy>
  <cp:revision>11</cp:revision>
  <cp:lastPrinted>2025-02-27T12:41:00Z</cp:lastPrinted>
  <dcterms:created xsi:type="dcterms:W3CDTF">2025-03-17T18:22:00Z</dcterms:created>
  <dcterms:modified xsi:type="dcterms:W3CDTF">2025-03-17T18:37:00Z</dcterms:modified>
</cp:coreProperties>
</file>